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broad equities (SPX, NDX) have shown a moderate negative linkage to 10-year yields, while rate sensitivity in financials is minimal and utilities sit in a clearly rate‑sensitive, defensive posture. The Russell 2000 stands out with the strongest equity-side negative correlation to yields, indicating that equity rate exposure is somewhat concentrated in smaller caps. Shorter (15D) readings show financials tilting slightly positively to yields and utilities more negatively sensitive, while the 90D window confirms a persistently stronger negative relationship for SPX, NDX, and especially RUT versus rates.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