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equity (SPX), gold (GLD), and bitcoin (BTC) have all moved meaningfully opposite the dollar, with the strongest and most concentrated linkage in GLD. The recent 15D readings show this negative sensitivity persisting, especially for GLD and BTC, while the 90D window suggests that gold’s inverse relationship has been more stable than bitcoin’s. In contrast, oil (USO) and broad commodities (COMT) show contained and shifting correlations, indicating only limited and inconsistent USD influence on those segments over these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