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U. S. equities have mostly traded inversely with 10Y yields, with the Russell 2000 showing the most concentrated rate sensitivity among the major indices and small caps underperforming when yields rise. The S&amp;P 500 and Nasdaq 100 also exhibit notable negative linkage to yields, though somewhat less intense than small caps and more in line with their 90-day patterns.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