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meaningful across all tracked assets, with the strongest sensitivity concentrated in gold and U. S. equities, both tending to move opposite the dollar. Gold’s correlation has been strongly negative in the short term and has strengthened versus its 90-day reading, while the S&amp;P 500 shows a similarly firm, though slightly less intense, negative linkage.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