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broad equities have shown moderate inverse sensitivity to moves in the 10-year yield, with the S&amp;P 500 and Nasdaq 100 both negatively linked to higher rates and the Russell 2000 standing out as the most rates‑sensitive equity index. That small‑cap concentration lines up with its even stronger negative correlation over 90 days, suggesting persistent pressure when yields rise. Financials and Utilities currently show only contained 30‑day rate sensitivity, and Utilities’ flip from positive (15D) to mildly negative (30D) highlights how unstable their relationship with yields has been in the near term.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