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moderate, negative linkages that imply they have generally benefited when the dollar has weakened and vice versa. GLD stands out as the strongest USD counterpart, with a firmly negative correlation that has been consistently elevated in the shorter 15D window as well. SPX and Bitcoin display similar, though slightly milder, inverse ties to the dollar, while USO and broad commodities show only contained, low correlation, suggesting much less direct day-to-day influence from USD moves.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