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last 30 trading days, broad U. S. equities (especially the S&amp;P 500 and Nasdaq 100) show only mild day‑to‑day connection to moves in the 10-year yield, while the Russell 2000 stands out with a more pronounced inverse relationship, indicating higher rate sensitivity in small caps. Financials are also leaning inversely to yields but less tightly than small caps, suggesting only a moderate linkage.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