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which shows a clear negative linkage to the dollar, with Bitcoin also moving fairly consistently in the opposite direction but a bit less tightly. The S&amp;P 500 and broad commodities have only mild USD sensitivity at this horizon, despite the equity link having strengthened over 90 days while the commodity basket flipped from positive to negative versus the dollar. Oil remains largely insulated from USD moves across all windows, with correlations staying close to zero.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