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broad U. S. equities have moved meaningfully opposite to 10-year yields, with the Russell 2000 showing the strongest equity-rate linkage and the S&amp;P 500 not far behind, highlighting fairly broad rate sensitivity across the equity complex. Tech-heavy Nasdaq 100 is also negatively tied to yields but somewhat less so than small caps, suggesting rate moves are pressuring growth stocks while still leaving some room for idiosyncratic drivers.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