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concentrated in risk assets and gold, with the S&amp;P 500 and Bitcoin tending to fall when the dollar rises, and gold showing the strongest inverse linkage. This negative relationship for SPX, GLD, and BTC is also fairly consistent over 15D and 90D windows, suggesting a stable pattern of assets weakening against a stronger dollar. In contrast, broad commodities and oil show little net connection to the USD over 30 days, with their short-term fluctuations around the currency move largely contained.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