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rising 10Y yields have coincided with broadly negative equity and sector returns, with the Russell 2000 showing the sharpest equity sensitivity and implying that smaller caps are particularly pressured by higher rates. The S&amp;P 500, Nasdaq 100, and Utilities all show moderately strong negative links to yields, suggesting growth- and defensives-heavy benchmarks have been moving inversely with rates rather than offering much cushion. Financials have also been negatively correlated, and less so than the broad market, indicating that traditional rate-benefit expectations for the sector have not been dominant in recent trading. Over 90 trading days, these negative relationships remain in place but are generally milder, pointing to more acute rate sensitivity in the recent past than over the full quarter.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