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 negative correlations that imply they tend to weaken when the dollar strengthens. GLD stands out as the most tightly linked, with a persistently strong inverse relationship to the USD over 30D and especially 90D. SPX and Bitcoin also maintain a consistent negative linkage, though somewhat milder and less stable than gold. In contrast, USO and broad commodities show contained and low USD correlations, indicating only limited dollar influence on their recent day‑to‑day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