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Utilities and Financials show the clearest equity-rate linkage, with both moving consistently opposite to TNX and suggesting concentrated rate sensitivity in these defensive and rate-exposed sectors. The Russell 2000 also trades inversely to yields, reinforcing the idea that smaller caps have been leaning more toward rate pressure than the broad S&amp;P 500. By contrast, the S&amp;P 500’s near-zero 30D correlation points to relatively muted aggregate sensitivity, while the Nasdaq 100’s mildly positive reading hints that recent tech performance has not been tightly constrained by rate moves.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