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generally contained across risk assets, with the S&amp;P 500 showing only a mild negative correlation and oil, broad commodities, and Bitcoin sitting near zero. The main exception is gold, where the USD influence is concentrated: GLD has the strongest 30D negative correlation with DXY, and that inverse relationship has been even more pronounced over both the shorter 15D and longer 90D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