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US equities (S&amp;P 500, Nasdaq 100, and Russell 2000) have all shown notably negative correlations to 10-year yields, pointing to fairly consistent rate sensitivity across large-cap growth, large-cap broad, and small caps. Russell 2000 stands out slightly with the most negative equity correlation, while Utilities also show a pronounced negative linkage, underscoring how higher yields have tended to coincide with pressure on traditional rate-sensitive corners of the market. Financials remain negatively correlated as well, but with a milder relationship than the major equity indices and classic defensives.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