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USD correlations: Over the last 30 trading days, USD sensitivity is concentrated in equities and gold, with the S&amp;P 500 and GLD both moving meaningfully opposite to the dollar, and gold showing the single strongest linkage that deepens over the 90-day window. Bitcoin has a moderate negative USD relationship that has weakened in the most recent 15 days, while broad commodities and oil funds show only contained, low-grade correlations to the dollar across all horizons.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