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the S&amp;P 500 has shown very little systematic linkage to moves in the 10-year yield, while the Nasdaq has been modestly more tied to rising yields, suggesting a mild positive rate sensitivity in large-cap growth and tech. In contrast, the Russell 2000, Financials, and Utilities all show clearer negative correlations, implying these areas have been more consistently pressured when yields rise and supported when yields fall. That influence is concentrated in traditionally rate‑sensitive sectors like Utilities and Financials, which currently exhibit the strongest equity-side reactions to rate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