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most assets show only mild, contained sensitivity to the dollar, with the S&amp;P 500, oil, broad commodities, and Bitcoin all hovering near zero correlation. Gold is the clearest USD-linked asset, with a moderate negative correlation that becomes stronger when you look back over 90 trading days, indicating it has tended to move opposite the dollar over the longer window. This leaves USD influence relatively concentrated in gold rather than broad-based across the risk and commodity complex.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