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equity and sector returns have mostly moved opposite to 10Y yields, with Utilities and small caps showing the strongest equity-side sensitivity to rates while the Nasdaq 100 stands out for its relatively contained linkage. The S&amp;P 500 and Financials are moderately negatively tied to yields, suggesting broad equities and banks have been leaning risk-off when rates tick higher. Compared with the steadier 90D patterns, the recent 15D flip in the Nasdaq 100 toward a positive correlation highlights how large-cap growth’s day-to-day relationship with yields has been more volatile than the rest of the equity complex.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