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returns have moved clearly opposite to the dollar, and that inverse linkage has been persistent and even stronger over the 90-day window. Equities show a moderate negative relationship with the USD that has stabilized over 30–90 days, while Bitcoin, broad commodities, and oil have shown only weak and inconsistent ties to dollar moves. This mix points to gold as the primary asset expressing USD moves in this set, with other assets responding more idiosyncratically.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