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equity index returns have mostly moved opposite to 10-year yields, with rate sensitivity most pronounced in small caps (RUT) and utilities (XLU), and more muted in the Nasdaq 100 (NDX). The negative correlations in RUT and XLU suggest that higher yields have recently tended to pressure rate-sensitive and defensively oriented stocks more than the broader S&amp;P 500. The 15D and 90D windows largely echo this pattern, indicating that the recent relationship between rising rates and underperformance in these pockets has been fairly consistent rather than a short-lived blip.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