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gold, where returns have moved moderately in the opposite direction of the dollar, and this inverse linkage is even stronger when viewed over 90 days. Equities show a weaker, but still noticeable, tendency to slip when the dollar firms, while oil, broad commodities, and bitcoin have shown only contained and inconsistent USD relationships across the 15-, 30-, and 90-day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