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and growth stocks (SPX, NDX) have shown strong negative sensitivity to moves in the 10-year yield, with higher rates generally coinciding with equity pressure. The Russell 2000 has been similarly rate‑sensitive and its 90‑day reading suggests this linkage has been more persistent than for large caps.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