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gold, and bitcoin, all showing moderate negative linkage to DXY, with GLD the most strongly tied and increasingly inverse over the 90D window. The S&amp;P 500’s negative correlation is steady across 15D–90D, while bitcoin’s linkage has strengthened from mild on 15D to more meaningful on 30D and 90D. In contrast, broad commodities and oil show contained and unstable USD relationships, with correlations hovering near zero despite short-term positive blips.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