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broadly negative across major equities, with the Russell 2000 and Utilities showing the clearest pressure from rising yields and Financials also leaning meaningfully inverse to rates. The S&amp;P 500 shows a moderate negative linkage to yields, while the Nasdaq 100 stands out with relatively contained rate sensitivity, suggesting its recent moves have been less tied to daily shifts in the 10-year yield. Over 15 days, correlations are more mixed and even flip positive for the Nasdaq, but the 90-day readings largely confirm a sustained, though varying, negative relationship between most risk assets and yields.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