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where returns have moved modestly in the opposite direction of DXY, consistent with a longer-running and stronger negative linkage over 90 days. Equities, oil, broad commodities, and bitcoin all show relatively contained and somewhat negative USD relationships on this 30-day window, with weaker and less consistent co-movement than gold. The recent 15-day readings suggest that these muted USD linkages have broadly persisted in the very near term, without a clear pickup in sensitivity outside of gold.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