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equity index returns have generally moved opposite to 10-year yields, with the relationship most pronounced in small caps (RUT) and rate‑sensitive defensives like Utilities (XLU), indicating these areas are more pressured when yields rise. Financials (XLF) are also modestly negatively linked to yields, suggesting recent trading has not treated them as clear beneficiaries of higher rates. The Nasdaq 100 (NDX) shows relatively contained rate sensitivity over this window, while the S&amp;P 500 (SPX) sits in between, reflecting a mixed but still noticeably negative pull from rates on broad U. 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