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gold, where a stronger dollar has tended to line up with weaker gold prices, and that inverse linkage looks durable given the even stronger 90-day relationship. Equities, broad commodities, oil, and bitcoin all show relatively contained day-to-day co-movements with the dollar over this window, and their mixed shorter- vs. longer-term readings suggest no consistent USD-driven pattern across these risk assets.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