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US equities and defensives have traded with broadly negative rate sensitivity, with the S&amp;P 500 and Nasdaq 100 showing notably stronger inverse linkage to yields than Russell 2000 or Financials. The 15D window shows this negative sensitivity has recently intensified for large-cap indices and Utilities, while the still-elevated 90D readings for Russell 2000 suggest more persistent pressure there. Overall, rate influence is concentrated in the major equity benchmarks, with no sector or index showing a meaningfully muted linkage to moves in the 10-year yield.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