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been most strongly linked to gold, with a moderate inverse relationship that has been fairly persistent over 90 days. Equities and bitcoin also show notable negative correlations to the dollar, suggesting they have tended to struggle when the USD has strengthened. In contrast, broad commodities and oil exhibit contained and close-to-zero 30-day correlations, implying that recent USD sensitivity is less broad-based and more concentrated in gold and risk assets than in the commodity complex overall.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