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generally moved opposite to 10Y yields, with the Russell 2000 showing the strongest negative linkage among the major indices, indicating rate sensitivity is somewhat concentrated in smaller caps. The S&amp;P 500 and Nasdaq 100 also show meaningful inverse relationships to yields, while financials have been less tightly tied to rate moves. Utilities remain negatively correlated to yields as well, but their 90-day pattern points to rate sensitivity that has eased compared with the more recent 15- and 30-day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