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equities and gold, with the S&amp;P 500 and especially GLD showing moderate inverse sensitivity to DXY moves. Gold’s negative correlation is both the strongest and the most persistent across 15D and 90D windows, indicating it has been the clearest counter-USD asset in this set. Bitcoin shows a developing but less consistent inverse relationship to the dollar, while oil (USO) and broad commodities (COMT) have stayed largely contained with only weak, unstable ties to DXY.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