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US equities and utilities have shown clearly negative sensitivity to moves in the 10-year yield, with the S&amp;P 500, Russell 2000, Nasdaq 100, and Utilities all tending to fall when yields rise. The Russell 2000 and S&amp;P 500 show the most pronounced equity-rate linkage, and that equity-rate sensitivity is fairly persistent when compared with their 90-day patterns. Financials are less tightly linked to rates in the recent 30-day window, and their near-zero 15-day reading suggests that any rate influence there is weaker and more mixed in the very short term. Overall, rate sensitivity is meaningful across most risk assets but not concentrated in a single equity sector.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