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rate sensitivity is concentrated in defensives, with Utilities showing a strong negative linkage to TNX, while Financials also move notably opposite to yields despite their usual pro-rate reputation. The S&amp;P 500’s correlation to yields is mild and has faded versus the last 15 days, suggesting index-level rate sensitivity is relatively contained. The Nasdaq 100 shows a moderate positive correlation to yields, in contrast to the more steadily negative relationship seen in the small-cap Russell 2000.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