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had only a contained impact across all tracked assets, with correlations clustered near zero and no market showing a strong day-to-day linkage. Gold shows the clearest USD pattern, with a modest negative correlation recently and a much stronger inverse relationship over 90 days, suggesting that the more persistent sensitivity to dollar strength is concentrated there. Other assets, including equities, broad commodities, oil, and bitcoin, have correlations that fluctuate around zero across 15D and 90D windows, pointing to relatively loose and unstable USD connections in the current tape.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