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equities and defensives have broadly traded inversely to yields, with the S&amp;P 500 and Russell 2000 both showing moderate negative sensitivity while the Nasdaq 100 is somewhat less tied to rate moves. Utilities remain one of the most rate‑sensitive equity groups, with their negative correlation to yields especially pronounced over the last 15 days. Overall, rate sensitivity across major U. 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