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linkages are concentrated in equities and gold, with the S&amp;P 500 and GLD both showing moderate negative relationships to the dollar. Gold’s negative correlation is the strongest and most persistent, becoming more pronounced over 90 days, while Bitcoin’s weaker but increasingly negative linkage suggests a gradual pickup in USD sensitivity. Broad commodities and oil show contained, near-zero correlations over 30 days, pointing to limited and less stable USD influence on those markets in this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