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US equities have generally moved opposite 10-year yields, with the relationship most pronounced in small caps (RUT) and similar in strength for the S&amp;P 500 and Nasdaq, pointing to broad equity sensitivity to rate moves. Utilities show equity-like rate exposure as well, matching the S&amp;P’s 30-day correlation, while financials have been less tightly linked to yields despite their sector narrative. The 15-day readings show an even sharper negative linkage for most major equity indices and utilities, suggesting that rate sensitivity has intensified recently relative to the longer 90-day backdrop.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