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Gold Trust (GLD), which shows a strong inverse relationship with the dollar, while the S&amp;P 500 (SPX) and Bitcoin futures also move meaningfully opposite to USD but to a lesser extent. GLD’s linkage is consistent across 90D, suggesting a durable pattern, whereas SPX and Bitcoin have seen their negative USD sensitivity strengthen versus the shorter 15D window. In contrast, U. 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