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shown broadly negative sensitivity to moves in the 10-year yield, with the S&amp;P 500 and Nasdaq 100 moving the most inversely and the Russell 2000 not far behind. Utilities have also traded with a clearly negative tilt to rates, though slightly less tightly than large-cap growth benchmarks.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