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moderate negative correlations that imply they’ve generally risen when the dollar has eased and struggled when it has strengthened. GLD shows the most consistent inverse linkage, with its negative correlation strengthening over the 90D window, while SPX and Bitcoin display somewhat softer but still meaningful patterns. In contrast, oil (USO) and broad commodities (COMT) show contained and unstable relationships with the dollar, with short-term readings drifting around zero and offering little clear USD-driven direction.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