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concentrated in classic defensives, with Utilities showing a strong negative linkage to yields and Financials also trading clearly inverse to moves in TNX. The Russell 2000 is moderately negatively correlated, suggesting smaller caps have been leaning against rising yields, while the Nasdaq 100 shows a mild positive association, indicating growth names have recently been more comfortable with higher rates. The S&amp;P 500 sits near zero correlation over this window, implying headline equities have, on net, been relatively insulated from day-to-day rate swings despite more pronounced moves in key subsectors.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