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a stronger dollar has tended to align with weaker gold prices, and that inverse link looks even more pronounced over the 90-day window. Equities, oil, broad commodities, and bitcoin all show relatively contained USD correlations on this 30-day view, though their more negative 15- and 90-day readings hint at a looser, episodic tendency for these assets to struggle when the dollar firms.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