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the S&amp;P 500 has shown very little net linkage to moves in the 10-year yield, while the Nasdaq 100 has been modestly positively aligned with rising rates. Rate sensitivity is more pronounced and negative in the Russell 2000, with small caps tending to struggle as yields move higher in both the 30D and 90D windows. Among sectors, Utilities show the clearest and most consistently negative correlation to yields, indicating that rate sensitivity is concentrated there relative to the broader equity complex.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