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t>USD correlations: Over the last 30 trading days, USD sensitivity is fairly muted across most assets, with the S&amp;P 500, oil, broad commodities, and Bitcoin showing only modest or contained linkages to the dollar. The main exception is gold, where correlations are clearly negative and strengthening from 30D to 90D, indicating that gold has been the most consistently inversely tied to USD moves. Recent 15D readings suggest this inverse pattern is most pronounced in gold but is also visible, though less stable, in oil, broad commodities, and Bitcoin.</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