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and sector returns have been modestly to moderately negatively linked to moves in the 10Y yield, with Utilities and small caps showing the most pronounced rate sensitivity among the major equity groups. The Russell 2000 and Utilities both display relatively stronger negative correlations to yields than the S&amp;P 500 or Financials, suggesting rate moves have been more consequential for smaller and rate‑sensitive sectors. The Nasdaq 100’s comparatively low 30-day correlation indicates that its day-to-day performance has been less tightly tied to rate changes, and the 15D and 90D readings broadly reinforce this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