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gold, where a moderate and persistent negative relationship suggests gold has been the primary hedge-like asset versus dollar strength. The S&amp;P 500 shows only a mild negative linkage to the USD, while oil, broad commodities, and Bitcoin futures exhibit relatively contained and unstable correlations, implying no consistent dollar-driven pattern in those markets. The stronger 90-day negatives for gold and Bitcoin hint that their inverse relationships with the dollar have been more durable over a longer horizon than what the shorter windows alone would suggest.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