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equities have generally moved opposite to 10-year yields, with the Russell 2000 and Utilities showing the most pronounced negative sensitivity among the major equity and sector benchmarks. The S&amp;P 500 and Nasdaq 100 are also negatively tied to yields, but less tightly so, and the Nasdaq’s small positive 15-day reading hints at some recent choppiness in that relationship. Financials, despite often being seen as beneficiaries of higher rates, have been trading with a moderate negative correlation to yields across all windows. Overall, rate sensitivity is spread across indices and sectors rather than being concentrated in a single equity segment.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