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mostly contained across equities, oil, broad commodities, and bitcoin, with only mild inverse sensitivity showing up and little sign of a tightly synchronized move versus the dollar. The influence is concentrated in gold, which shows the clearest inverse relationship to the USD and has been more strongly tied to dollar moves over the broader 90-day window than in the very recent 15-day period.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