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moves in the 10-year yield have lined up most clearly with the Nasdaq 100, which has shown a moderate positive linkage, while the S&amp;P 500 has been only mildly rate-sensitive and the Russell 2000 and Utilities have stayed relatively insulated. Financials stand out with a pronounced negative correlation to yields, indicating that bank and financial stocks have been moving in the opposite direction of rate shifts. This leaves rate sensitivity relatively concentrated in large-cap growth on the upside and Financials on the downside, with small caps and defensives playing a lesser role in the rates tape.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